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</w:rPr>
        <w:drawing>
          <wp:inline distB="0" distT="0" distL="0" distR="0">
            <wp:extent cx="3646425" cy="852766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6425" cy="8527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AGENDA</w:t>
        <w:br w:type="textWrapping"/>
        <w:t xml:space="preserve">Session #5 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September 17, 2019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6:00 – 8:30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Check-In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 in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Pick up handouts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nametag – that’s your table for the night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Homework Review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Challenges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Community Organizing 101 – The Basics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community organizing?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you organize?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Problems Vs. Issues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Community Engagement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community engagement?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can you use it to make change?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Good Night and Safe Travels Home! 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</w:rPr>
        <w:drawing>
          <wp:inline distB="0" distT="0" distL="0" distR="0">
            <wp:extent cx="2133599" cy="44005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599" cy="440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mbria" w:cs="Cambria" w:eastAsia="Cambria" w:hAnsi="Cambria"/>
          <w:b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Center for Neighborhoods    |   507 S. 3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 St., Louisville, KY    |   502.589.0343</w:t>
      </w:r>
    </w:p>
    <w:p w:rsidR="00000000" w:rsidDel="00000000" w:rsidP="00000000" w:rsidRDefault="00000000" w:rsidRPr="00000000" w14:paraId="00000026">
      <w:pPr>
        <w:jc w:val="center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www.centerforneighborhoods.org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/>
      <w:pgMar w:bottom="720" w:top="720" w:left="1800" w:right="15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